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57A1" w14:textId="77777777" w:rsidR="005A531C" w:rsidRDefault="005A531C" w:rsidP="005A531C"/>
    <w:tbl>
      <w:tblPr>
        <w:tblW w:w="5235" w:type="pct"/>
        <w:jc w:val="center"/>
        <w:shd w:val="clear" w:color="auto" w:fill="FAFAFA"/>
        <w:tblCellMar>
          <w:left w:w="0" w:type="dxa"/>
          <w:right w:w="0" w:type="dxa"/>
        </w:tblCellMar>
        <w:tblLook w:val="04A0" w:firstRow="1" w:lastRow="0" w:firstColumn="1" w:lastColumn="0" w:noHBand="0" w:noVBand="1"/>
      </w:tblPr>
      <w:tblGrid>
        <w:gridCol w:w="9000"/>
      </w:tblGrid>
      <w:tr w:rsidR="005A531C" w14:paraId="797C2D33" w14:textId="77777777" w:rsidTr="005A531C">
        <w:trPr>
          <w:jc w:val="center"/>
        </w:trPr>
        <w:tc>
          <w:tcPr>
            <w:tcW w:w="5000" w:type="pct"/>
            <w:shd w:val="clear" w:color="auto" w:fill="FAFAFA"/>
            <w:hideMark/>
          </w:tcPr>
          <w:tbl>
            <w:tblPr>
              <w:tblW w:w="5000" w:type="pct"/>
              <w:jc w:val="center"/>
              <w:tblCellMar>
                <w:left w:w="0" w:type="dxa"/>
                <w:right w:w="0" w:type="dxa"/>
              </w:tblCellMar>
              <w:tblLook w:val="04A0" w:firstRow="1" w:lastRow="0" w:firstColumn="1" w:lastColumn="0" w:noHBand="0" w:noVBand="1"/>
            </w:tblPr>
            <w:tblGrid>
              <w:gridCol w:w="9000"/>
            </w:tblGrid>
            <w:tr w:rsidR="005A531C" w14:paraId="0E42D5F3" w14:textId="77777777">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A531C" w14:paraId="0741D317" w14:textId="77777777">
                    <w:trPr>
                      <w:jc w:val="center"/>
                    </w:trPr>
                    <w:tc>
                      <w:tcPr>
                        <w:tcW w:w="9000" w:type="dxa"/>
                        <w:hideMark/>
                      </w:tcPr>
                      <w:tbl>
                        <w:tblPr>
                          <w:tblW w:w="0" w:type="auto"/>
                          <w:jc w:val="center"/>
                          <w:tblCellMar>
                            <w:left w:w="0" w:type="dxa"/>
                            <w:right w:w="0" w:type="dxa"/>
                          </w:tblCellMar>
                          <w:tblLook w:val="04A0" w:firstRow="1" w:lastRow="0" w:firstColumn="1" w:lastColumn="0" w:noHBand="0" w:noVBand="1"/>
                        </w:tblPr>
                        <w:tblGrid>
                          <w:gridCol w:w="4650"/>
                        </w:tblGrid>
                        <w:tr w:rsidR="005A531C" w14:paraId="03153C6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4650"/>
                              </w:tblGrid>
                              <w:tr w:rsidR="005A531C" w14:paraId="4151076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380"/>
                                    </w:tblGrid>
                                    <w:tr w:rsidR="005A531C" w14:paraId="66286E65" w14:textId="77777777">
                                      <w:tc>
                                        <w:tcPr>
                                          <w:tcW w:w="0" w:type="auto"/>
                                          <w:tcMar>
                                            <w:top w:w="0" w:type="dxa"/>
                                            <w:left w:w="135" w:type="dxa"/>
                                            <w:bottom w:w="0" w:type="dxa"/>
                                            <w:right w:w="135" w:type="dxa"/>
                                          </w:tcMar>
                                          <w:hideMark/>
                                        </w:tcPr>
                                        <w:p w14:paraId="454AEB0F" w14:textId="3F284F49" w:rsidR="005A531C" w:rsidRDefault="005A531C" w:rsidP="005A531C">
                                          <w:pPr>
                                            <w:jc w:val="center"/>
                                          </w:pPr>
                                          <w:r>
                                            <w:rPr>
                                              <w:noProof/>
                                            </w:rPr>
                                            <w:drawing>
                                              <wp:inline distT="0" distB="0" distL="0" distR="0" wp14:anchorId="02F93CBA" wp14:editId="7ED83C69">
                                                <wp:extent cx="2609850" cy="1009650"/>
                                                <wp:effectExtent l="0" t="0" r="0" b="0"/>
                                                <wp:docPr id="86626382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63827" name="Imagen 1" descr="Text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1009650"/>
                                                        </a:xfrm>
                                                        <a:prstGeom prst="rect">
                                                          <a:avLst/>
                                                        </a:prstGeom>
                                                        <a:noFill/>
                                                        <a:ln>
                                                          <a:noFill/>
                                                        </a:ln>
                                                      </pic:spPr>
                                                    </pic:pic>
                                                  </a:graphicData>
                                                </a:graphic>
                                              </wp:inline>
                                            </w:drawing>
                                          </w:r>
                                        </w:p>
                                      </w:tc>
                                    </w:tr>
                                  </w:tbl>
                                  <w:p w14:paraId="382011A0" w14:textId="77777777" w:rsidR="005A531C" w:rsidRDefault="005A531C" w:rsidP="005A531C">
                                    <w:pPr>
                                      <w:rPr>
                                        <w:rFonts w:ascii="Times New Roman" w:eastAsia="Times New Roman" w:hAnsi="Times New Roman" w:cs="Times New Roman"/>
                                        <w:sz w:val="20"/>
                                        <w:szCs w:val="20"/>
                                      </w:rPr>
                                    </w:pPr>
                                  </w:p>
                                </w:tc>
                              </w:tr>
                            </w:tbl>
                            <w:p w14:paraId="5C960A47" w14:textId="77777777" w:rsidR="005A531C" w:rsidRDefault="005A531C" w:rsidP="005A531C">
                              <w:pPr>
                                <w:rPr>
                                  <w:rFonts w:ascii="Times New Roman" w:eastAsia="Times New Roman" w:hAnsi="Times New Roman" w:cs="Times New Roman"/>
                                  <w:sz w:val="20"/>
                                  <w:szCs w:val="20"/>
                                </w:rPr>
                              </w:pPr>
                            </w:p>
                          </w:tc>
                        </w:tr>
                      </w:tbl>
                      <w:p w14:paraId="60BB29DC" w14:textId="77777777" w:rsidR="005A531C" w:rsidRDefault="005A531C" w:rsidP="005A531C">
                        <w:pPr>
                          <w:jc w:val="center"/>
                          <w:rPr>
                            <w:rFonts w:ascii="Times New Roman" w:eastAsia="Times New Roman" w:hAnsi="Times New Roman" w:cs="Times New Roman"/>
                            <w:sz w:val="20"/>
                            <w:szCs w:val="20"/>
                          </w:rPr>
                        </w:pPr>
                      </w:p>
                    </w:tc>
                  </w:tr>
                </w:tbl>
                <w:p w14:paraId="034BCEA2" w14:textId="77777777" w:rsidR="005A531C" w:rsidRDefault="005A531C" w:rsidP="005A531C">
                  <w:pPr>
                    <w:jc w:val="center"/>
                    <w:rPr>
                      <w:rFonts w:ascii="Times New Roman" w:eastAsia="Times New Roman" w:hAnsi="Times New Roman" w:cs="Times New Roman"/>
                      <w:sz w:val="20"/>
                      <w:szCs w:val="20"/>
                    </w:rPr>
                  </w:pPr>
                </w:p>
              </w:tc>
            </w:tr>
            <w:tr w:rsidR="005A531C" w14:paraId="4FC6FE77" w14:textId="77777777">
              <w:trPr>
                <w:jc w:val="center"/>
              </w:trPr>
              <w:tc>
                <w:tcPr>
                  <w:tcW w:w="0" w:type="auto"/>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A531C" w14:paraId="5E32FED8" w14:textId="77777777">
                    <w:trPr>
                      <w:jc w:val="center"/>
                    </w:trPr>
                    <w:tc>
                      <w:tcPr>
                        <w:tcW w:w="9000" w:type="dxa"/>
                        <w:hideMark/>
                      </w:tcPr>
                      <w:tbl>
                        <w:tblPr>
                          <w:tblW w:w="0" w:type="auto"/>
                          <w:jc w:val="center"/>
                          <w:tblCellMar>
                            <w:left w:w="0" w:type="dxa"/>
                            <w:right w:w="0" w:type="dxa"/>
                          </w:tblCellMar>
                          <w:tblLook w:val="04A0" w:firstRow="1" w:lastRow="0" w:firstColumn="1" w:lastColumn="0" w:noHBand="0" w:noVBand="1"/>
                        </w:tblPr>
                        <w:tblGrid>
                          <w:gridCol w:w="9000"/>
                        </w:tblGrid>
                        <w:tr w:rsidR="005A531C" w14:paraId="5D001C9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5A531C" w14:paraId="0D666AED" w14:textId="77777777">
                                <w:tc>
                                  <w:tcPr>
                                    <w:tcW w:w="0" w:type="auto"/>
                                    <w:tcMar>
                                      <w:top w:w="135" w:type="dxa"/>
                                      <w:left w:w="0" w:type="dxa"/>
                                      <w:bottom w:w="0" w:type="dxa"/>
                                      <w:right w:w="0" w:type="dxa"/>
                                    </w:tcMar>
                                    <w:hideMark/>
                                  </w:tcPr>
                                  <w:tbl>
                                    <w:tblPr>
                                      <w:tblpPr w:leftFromText="15" w:vertAnchor="text"/>
                                      <w:tblW w:w="5000" w:type="pct"/>
                                      <w:tblCellMar>
                                        <w:left w:w="0" w:type="dxa"/>
                                        <w:right w:w="0" w:type="dxa"/>
                                      </w:tblCellMar>
                                      <w:tblLook w:val="04A0" w:firstRow="1" w:lastRow="0" w:firstColumn="1" w:lastColumn="0" w:noHBand="0" w:noVBand="1"/>
                                    </w:tblPr>
                                    <w:tblGrid>
                                      <w:gridCol w:w="9000"/>
                                    </w:tblGrid>
                                    <w:tr w:rsidR="005A531C" w14:paraId="3EA3439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A531C" w14:paraId="49B282A7" w14:textId="77777777">
                                            <w:tc>
                                              <w:tcPr>
                                                <w:tcW w:w="5000" w:type="pct"/>
                                                <w:tcMar>
                                                  <w:top w:w="0" w:type="dxa"/>
                                                  <w:left w:w="270" w:type="dxa"/>
                                                  <w:bottom w:w="135" w:type="dxa"/>
                                                  <w:right w:w="270" w:type="dxa"/>
                                                </w:tcMar>
                                              </w:tcPr>
                                              <w:p w14:paraId="35168E7E" w14:textId="77777777" w:rsidR="005A531C" w:rsidRDefault="005A531C" w:rsidP="005A531C">
                                                <w:pPr>
                                                  <w:jc w:val="both"/>
                                                  <w:rPr>
                                                    <w:b/>
                                                    <w:bCs/>
                                                    <w:i/>
                                                    <w:iCs/>
                                                    <w:sz w:val="24"/>
                                                    <w:szCs w:val="24"/>
                                                  </w:rPr>
                                                </w:pPr>
                                                <w:r>
                                                  <w:rPr>
                                                    <w:b/>
                                                    <w:bCs/>
                                                    <w:i/>
                                                    <w:iCs/>
                                                    <w:color w:val="404040"/>
                                                    <w:sz w:val="24"/>
                                                    <w:szCs w:val="24"/>
                                                  </w:rPr>
                                                  <w:t>Querido Socio,</w:t>
                                                </w:r>
                                              </w:p>
                                              <w:p w14:paraId="3D653FA1"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w:t>
                                                </w:r>
                                              </w:p>
                                              <w:p w14:paraId="7046E4BE"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xml:space="preserve">El pasado 20 de julio se publicó en el BOE el Real Decreto </w:t>
                                                </w:r>
                                                <w:hyperlink r:id="rId6" w:history="1">
                                                  <w:r>
                                                    <w:rPr>
                                                      <w:rStyle w:val="Hipervnculo"/>
                                                      <w:sz w:val="24"/>
                                                      <w:szCs w:val="24"/>
                                                      <w:lang w:eastAsia="en-US"/>
                                                      <w14:ligatures w14:val="standardContextual"/>
                                                    </w:rPr>
                                                    <w:t>668/223</w:t>
                                                  </w:r>
                                                </w:hyperlink>
                                                <w:r>
                                                  <w:rPr>
                                                    <w:sz w:val="24"/>
                                                    <w:szCs w:val="24"/>
                                                    <w:lang w:eastAsia="en-US"/>
                                                    <w14:ligatures w14:val="standardContextual"/>
                                                  </w:rPr>
                                                  <w:t xml:space="preserve"> de modificación del Reglamento de planes y fondos de pensiones. </w:t>
                                                </w:r>
                                                <w:r>
                                                  <w:rPr>
                                                    <w:b/>
                                                    <w:bCs/>
                                                    <w:sz w:val="24"/>
                                                    <w:szCs w:val="24"/>
                                                    <w:lang w:eastAsia="en-US"/>
                                                    <w14:ligatures w14:val="standardContextual"/>
                                                  </w:rPr>
                                                  <w:t>El nuevo texto introduce novedades en varios aspectos de interés para la industria del capital privado</w:t>
                                                </w:r>
                                                <w:r>
                                                  <w:rPr>
                                                    <w:sz w:val="24"/>
                                                    <w:szCs w:val="24"/>
                                                    <w:lang w:eastAsia="en-US"/>
                                                    <w14:ligatures w14:val="standardContextual"/>
                                                  </w:rPr>
                                                  <w:t xml:space="preserve">, como las comisiones en cascada y los límites a la inversión en una entidad de capital riesgo (ECR). SPAINCAP ha estado involucrada en esta modificación, trasladando sus propuestas al Ministerio de Inclusión, Seguridad Social y </w:t>
                                                </w:r>
                                                <w:proofErr w:type="gramStart"/>
                                                <w:r>
                                                  <w:rPr>
                                                    <w:sz w:val="24"/>
                                                    <w:szCs w:val="24"/>
                                                    <w:lang w:eastAsia="en-US"/>
                                                    <w14:ligatures w14:val="standardContextual"/>
                                                  </w:rPr>
                                                  <w:t>Migraciones</w:t>
                                                </w:r>
                                                <w:proofErr w:type="gramEnd"/>
                                                <w:r>
                                                  <w:rPr>
                                                    <w:sz w:val="24"/>
                                                    <w:szCs w:val="24"/>
                                                    <w:lang w:eastAsia="en-US"/>
                                                    <w14:ligatures w14:val="standardContextual"/>
                                                  </w:rPr>
                                                  <w:t xml:space="preserve"> así como al Ministerio de Economía y la Dirección General de Seguros y Fondos de Pensiones.</w:t>
                                                </w:r>
                                              </w:p>
                                              <w:p w14:paraId="6AC24462"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w:t>
                                                </w:r>
                                              </w:p>
                                              <w:p w14:paraId="39C64B14" w14:textId="77777777" w:rsidR="005A531C" w:rsidRDefault="005A531C" w:rsidP="005A531C">
                                                <w:pPr>
                                                  <w:pStyle w:val="Prrafodelista"/>
                                                  <w:numPr>
                                                    <w:ilvl w:val="0"/>
                                                    <w:numId w:val="1"/>
                                                  </w:numPr>
                                                  <w:jc w:val="both"/>
                                                  <w:rPr>
                                                    <w:rFonts w:eastAsia="Times New Roman"/>
                                                    <w:sz w:val="24"/>
                                                    <w:szCs w:val="24"/>
                                                    <w:lang w:eastAsia="en-US"/>
                                                    <w14:ligatures w14:val="standardContextual"/>
                                                  </w:rPr>
                                                </w:pPr>
                                                <w:r>
                                                  <w:rPr>
                                                    <w:rFonts w:eastAsia="Times New Roman"/>
                                                    <w:b/>
                                                    <w:bCs/>
                                                    <w:sz w:val="24"/>
                                                    <w:szCs w:val="24"/>
                                                    <w:lang w:eastAsia="en-US"/>
                                                    <w14:ligatures w14:val="standardContextual"/>
                                                  </w:rPr>
                                                  <w:t xml:space="preserve">Desarrollos FCRE, FESE y FILPE (art. 70.8): </w:t>
                                                </w:r>
                                              </w:p>
                                              <w:p w14:paraId="073B1230"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w:t>
                                                </w:r>
                                              </w:p>
                                              <w:p w14:paraId="00357FB4"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xml:space="preserve">La reforma establece que, a los efectos de los criterios de diversificación, dispersión y congruencia de las inversiones (art. 72 del Reglamento de planes y fondos de pensiones), y de las condiciones generales de las operaciones (art. 74), los Fondos de Capital Riesgo Europeos (FCRE), los Fondos de Emprendimiento Social Europeos (FESE), y los Fondos de Inversión a largo plazo europeos (FILPE) tendrán el mismo tratamiento que las entidades de capital riesgo españolas. </w:t>
                                                </w:r>
                                              </w:p>
                                              <w:p w14:paraId="1F70BBB7"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w:t>
                                                </w:r>
                                              </w:p>
                                              <w:p w14:paraId="42DE0C1C" w14:textId="77777777" w:rsidR="005A531C" w:rsidRDefault="005A531C" w:rsidP="005A531C">
                                                <w:pPr>
                                                  <w:pStyle w:val="Prrafodelista"/>
                                                  <w:numPr>
                                                    <w:ilvl w:val="0"/>
                                                    <w:numId w:val="2"/>
                                                  </w:numPr>
                                                  <w:jc w:val="both"/>
                                                  <w:rPr>
                                                    <w:rFonts w:eastAsia="Times New Roman"/>
                                                    <w:sz w:val="24"/>
                                                    <w:szCs w:val="24"/>
                                                    <w:lang w:eastAsia="en-US"/>
                                                    <w14:ligatures w14:val="standardContextual"/>
                                                  </w:rPr>
                                                </w:pPr>
                                                <w:r>
                                                  <w:rPr>
                                                    <w:rFonts w:eastAsia="Times New Roman"/>
                                                    <w:b/>
                                                    <w:bCs/>
                                                    <w:sz w:val="24"/>
                                                    <w:szCs w:val="24"/>
                                                    <w:lang w:eastAsia="en-US"/>
                                                    <w14:ligatures w14:val="standardContextual"/>
                                                  </w:rPr>
                                                  <w:t>Avances respecto a las comisiones en cascada (art. 84.3):</w:t>
                                                </w:r>
                                              </w:p>
                                              <w:p w14:paraId="5B8371FA"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w:t>
                                                </w:r>
                                              </w:p>
                                              <w:p w14:paraId="5CB85B8F"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La nueva normativa sobre la retribución de los gestores de los fondos de pensiones lleva a cabo avances en la limitación de la acumulación de las comisiones que perciben los gestores de fondos de pensiones con las de los gestores de fondos de capital riesgo en los que invierten.</w:t>
                                                </w:r>
                                              </w:p>
                                              <w:p w14:paraId="279D71B0"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w:t>
                                                </w:r>
                                              </w:p>
                                              <w:p w14:paraId="5E1F46A0" w14:textId="77777777" w:rsidR="005A531C" w:rsidRDefault="005A531C" w:rsidP="005A531C">
                                                <w:pPr>
                                                  <w:jc w:val="both"/>
                                                  <w:rPr>
                                                    <w:b/>
                                                    <w:bCs/>
                                                    <w:sz w:val="24"/>
                                                    <w:szCs w:val="24"/>
                                                    <w:lang w:eastAsia="en-US"/>
                                                    <w14:ligatures w14:val="standardContextual"/>
                                                  </w:rPr>
                                                </w:pPr>
                                                <w:r>
                                                  <w:rPr>
                                                    <w:sz w:val="24"/>
                                                    <w:szCs w:val="24"/>
                                                    <w:lang w:eastAsia="en-US"/>
                                                    <w14:ligatures w14:val="standardContextual"/>
                                                  </w:rPr>
                                                  <w:t xml:space="preserve">La entidad gestora del fondo de pensiones establece los siguientes límites a las comisiones devengadas, calculados respecto a las cuentas de posición a las que deban imputarse: 0,85% anual en los fondos de renta fija, un 1,3% anual en los de renta fija mixta y un 1,5% en el resto. Como regla general, se produce una acumulación en el límite anterior de las comisiones que perciban los gestores de otros fondos en los que invierta el gestor del fondo de pensiones. Sin embargo, </w:t>
                                                </w:r>
                                                <w:r>
                                                  <w:rPr>
                                                    <w:b/>
                                                    <w:bCs/>
                                                    <w:sz w:val="24"/>
                                                    <w:szCs w:val="24"/>
                                                    <w:lang w:eastAsia="en-US"/>
                                                    <w14:ligatures w14:val="standardContextual"/>
                                                  </w:rPr>
                                                  <w:t>las comisiones de los gestores de las entidades de capital riesgo podrán repercutirse hasta un límite máximo adicional del 0,55% del valor de las cuentas de posición a las que se deban imputar. Esto supone para nuestro sector ganar un margen del 0,35% respecto al anterior límite máximo de las retribuciones de las entidades en las que se hubieran delegado funciones.</w:t>
                                                </w:r>
                                              </w:p>
                                              <w:p w14:paraId="70E55239" w14:textId="77777777" w:rsidR="005A531C" w:rsidRDefault="005A531C" w:rsidP="005A531C">
                                                <w:pPr>
                                                  <w:jc w:val="both"/>
                                                  <w:rPr>
                                                    <w:b/>
                                                    <w:bCs/>
                                                    <w:sz w:val="24"/>
                                                    <w:szCs w:val="24"/>
                                                    <w:lang w:eastAsia="en-US"/>
                                                    <w14:ligatures w14:val="standardContextual"/>
                                                  </w:rPr>
                                                </w:pPr>
                                              </w:p>
                                              <w:p w14:paraId="28903657"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lastRenderedPageBreak/>
                                                  <w:t xml:space="preserve">En la práctica, si tenemos un 10% del fondo de pensiones en inversiones en capital riesgo/privado con un coste del 3%, supondría un cómputo del 0,30%, quedando por debajo del 0,55% establecido como techo. No obstante, debe tenerse en cuenta que la norma no contempla en su literalidad el cálculo sobre el capital comprometido, como es habitual en la industria, sino sobre el desembolsado, lo cual podrá suponer una reducción de los márgenes. </w:t>
                                                </w:r>
                                              </w:p>
                                              <w:p w14:paraId="3F817528" w14:textId="77777777" w:rsidR="005A531C" w:rsidRDefault="005A531C" w:rsidP="005A531C">
                                                <w:pPr>
                                                  <w:jc w:val="both"/>
                                                  <w:rPr>
                                                    <w:b/>
                                                    <w:bCs/>
                                                    <w:sz w:val="24"/>
                                                    <w:szCs w:val="24"/>
                                                    <w:lang w:eastAsia="en-US"/>
                                                    <w14:ligatures w14:val="standardContextual"/>
                                                  </w:rPr>
                                                </w:pPr>
                                              </w:p>
                                              <w:p w14:paraId="6478594B" w14:textId="77777777" w:rsidR="005A531C" w:rsidRDefault="005A531C" w:rsidP="005A531C">
                                                <w:pPr>
                                                  <w:jc w:val="both"/>
                                                  <w:rPr>
                                                    <w:b/>
                                                    <w:bCs/>
                                                    <w:sz w:val="24"/>
                                                    <w:szCs w:val="24"/>
                                                    <w:lang w:eastAsia="en-US"/>
                                                    <w14:ligatures w14:val="standardContextual"/>
                                                  </w:rPr>
                                                </w:pPr>
                                              </w:p>
                                              <w:p w14:paraId="7806834F"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w:t>
                                                </w:r>
                                              </w:p>
                                              <w:p w14:paraId="2CE87193" w14:textId="77777777" w:rsidR="005A531C" w:rsidRDefault="005A531C" w:rsidP="005A531C">
                                                <w:pPr>
                                                  <w:pStyle w:val="Prrafodelista"/>
                                                  <w:numPr>
                                                    <w:ilvl w:val="0"/>
                                                    <w:numId w:val="2"/>
                                                  </w:numPr>
                                                  <w:jc w:val="both"/>
                                                  <w:rPr>
                                                    <w:rFonts w:eastAsia="Times New Roman"/>
                                                    <w:sz w:val="24"/>
                                                    <w:szCs w:val="24"/>
                                                    <w:lang w:eastAsia="en-US"/>
                                                    <w14:ligatures w14:val="standardContextual"/>
                                                  </w:rPr>
                                                </w:pPr>
                                                <w:r>
                                                  <w:rPr>
                                                    <w:rFonts w:eastAsia="Times New Roman"/>
                                                    <w:b/>
                                                    <w:bCs/>
                                                    <w:sz w:val="24"/>
                                                    <w:szCs w:val="24"/>
                                                    <w:lang w:eastAsia="en-US"/>
                                                    <w14:ligatures w14:val="standardContextual"/>
                                                  </w:rPr>
                                                  <w:t xml:space="preserve">Límites a la inversión en una entidad de capital riesgo (art. 72.b): </w:t>
                                                </w:r>
                                              </w:p>
                                              <w:p w14:paraId="6C59E240"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w:t>
                                                </w:r>
                                              </w:p>
                                              <w:p w14:paraId="4F49A6E3"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La inversión en acciones y participaciones emitidas por una sola ECR o entidad de inversión colectiva de tipo cerrado podrá alcanzar un máximo del 5% del activo del fondo de pensiones (10% para grupos empresariales). Esta medida se ajusta a lo propuesto por SPAINCAP, elevando los actuales límites de un 3% y un 6%, respectivamente.</w:t>
                                                </w:r>
                                              </w:p>
                                              <w:p w14:paraId="57943332"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w:t>
                                                </w:r>
                                              </w:p>
                                              <w:p w14:paraId="6B7CF21C" w14:textId="77777777" w:rsidR="005A531C" w:rsidRDefault="005A531C" w:rsidP="005A531C">
                                                <w:pPr>
                                                  <w:pStyle w:val="Prrafodelista"/>
                                                  <w:numPr>
                                                    <w:ilvl w:val="0"/>
                                                    <w:numId w:val="2"/>
                                                  </w:numPr>
                                                  <w:jc w:val="both"/>
                                                  <w:rPr>
                                                    <w:rFonts w:eastAsia="Times New Roman"/>
                                                    <w:sz w:val="24"/>
                                                    <w:szCs w:val="24"/>
                                                    <w:lang w:eastAsia="en-US"/>
                                                    <w14:ligatures w14:val="standardContextual"/>
                                                  </w:rPr>
                                                </w:pPr>
                                                <w:r>
                                                  <w:rPr>
                                                    <w:rFonts w:eastAsia="Times New Roman"/>
                                                    <w:b/>
                                                    <w:bCs/>
                                                    <w:sz w:val="24"/>
                                                    <w:szCs w:val="24"/>
                                                    <w:lang w:eastAsia="en-US"/>
                                                    <w14:ligatures w14:val="standardContextual"/>
                                                  </w:rPr>
                                                  <w:t xml:space="preserve">Próximos pasos: </w:t>
                                                </w:r>
                                              </w:p>
                                              <w:p w14:paraId="3360FA0F"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w:t>
                                                </w:r>
                                              </w:p>
                                              <w:p w14:paraId="2A65DBDB"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xml:space="preserve">En todo lo desarrollado en esta nota, la reforma entró en vigor el 21 de julio, al día siguiente de su publicación en el BOE. A partir de aquí, SPAINCAP seguirá promoviendo su estrategia de incidencia para una regulación de los planes y fondos de pensiones que facilite su canalización al Capital Privado y que sitúe a España al nivel de los países de nuestro entorno. Concretamente, SPAINCAP abogará por: la eliminación completa de las comisiones en cascada, reducir el porcentaje del capital del fondo de pensiones que debe invertirse en valores e instrumentos financieros susceptibles de tráfico generalizado e impersonal y la potenciación de la inversión en capital privado de los fondos de pensiones de empleo de promoción pública (FPEPP). </w:t>
                                                </w:r>
                                              </w:p>
                                              <w:p w14:paraId="20B02233"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w:t>
                                                </w:r>
                                              </w:p>
                                              <w:p w14:paraId="201CB680"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xml:space="preserve">Agradecemos a </w:t>
                                                </w:r>
                                                <w:r>
                                                  <w:rPr>
                                                    <w:b/>
                                                    <w:bCs/>
                                                    <w:sz w:val="24"/>
                                                    <w:szCs w:val="24"/>
                                                    <w:lang w:eastAsia="en-US"/>
                                                    <w14:ligatures w14:val="standardContextual"/>
                                                  </w:rPr>
                                                  <w:t>Clifford Chance</w:t>
                                                </w:r>
                                                <w:r>
                                                  <w:rPr>
                                                    <w:sz w:val="24"/>
                                                    <w:szCs w:val="24"/>
                                                    <w:lang w:eastAsia="en-US"/>
                                                    <w14:ligatures w14:val="standardContextual"/>
                                                  </w:rPr>
                                                  <w:t xml:space="preserve">, al </w:t>
                                                </w:r>
                                                <w:r>
                                                  <w:rPr>
                                                    <w:b/>
                                                    <w:bCs/>
                                                    <w:sz w:val="24"/>
                                                    <w:szCs w:val="24"/>
                                                    <w:lang w:eastAsia="en-US"/>
                                                    <w14:ligatures w14:val="standardContextual"/>
                                                  </w:rPr>
                                                  <w:t>área legal de Deloitte</w:t>
                                                </w:r>
                                                <w:r>
                                                  <w:rPr>
                                                    <w:sz w:val="24"/>
                                                    <w:szCs w:val="24"/>
                                                    <w:lang w:eastAsia="en-US"/>
                                                    <w14:ligatures w14:val="standardContextual"/>
                                                  </w:rPr>
                                                  <w:t>,</w:t>
                                                </w:r>
                                                <w:r>
                                                  <w:rPr>
                                                    <w:b/>
                                                    <w:bCs/>
                                                    <w:sz w:val="24"/>
                                                    <w:szCs w:val="24"/>
                                                    <w:lang w:eastAsia="en-US"/>
                                                    <w14:ligatures w14:val="standardContextual"/>
                                                  </w:rPr>
                                                  <w:t xml:space="preserve"> Loreto Mutua</w:t>
                                                </w:r>
                                                <w:r>
                                                  <w:rPr>
                                                    <w:sz w:val="24"/>
                                                    <w:szCs w:val="24"/>
                                                    <w:lang w:eastAsia="en-US"/>
                                                    <w14:ligatures w14:val="standardContextual"/>
                                                  </w:rPr>
                                                  <w:t xml:space="preserve"> y a la consultora </w:t>
                                                </w:r>
                                                <w:r>
                                                  <w:rPr>
                                                    <w:b/>
                                                    <w:bCs/>
                                                    <w:sz w:val="24"/>
                                                    <w:szCs w:val="24"/>
                                                    <w:lang w:eastAsia="en-US"/>
                                                    <w14:ligatures w14:val="standardContextual"/>
                                                  </w:rPr>
                                                  <w:t>KREAB</w:t>
                                                </w:r>
                                                <w:r>
                                                  <w:rPr>
                                                    <w:sz w:val="24"/>
                                                    <w:szCs w:val="24"/>
                                                    <w:lang w:eastAsia="en-US"/>
                                                    <w14:ligatures w14:val="standardContextual"/>
                                                  </w:rPr>
                                                  <w:t xml:space="preserve"> por su apoyo a la Asociación en este </w:t>
                                                </w:r>
                                                <w:proofErr w:type="gramStart"/>
                                                <w:r>
                                                  <w:rPr>
                                                    <w:sz w:val="24"/>
                                                    <w:szCs w:val="24"/>
                                                    <w:lang w:eastAsia="en-US"/>
                                                    <w14:ligatures w14:val="standardContextual"/>
                                                  </w:rPr>
                                                  <w:t>proceso</w:t>
                                                </w:r>
                                                <w:proofErr w:type="gramEnd"/>
                                                <w:r>
                                                  <w:rPr>
                                                    <w:sz w:val="24"/>
                                                    <w:szCs w:val="24"/>
                                                    <w:lang w:eastAsia="en-US"/>
                                                    <w14:ligatures w14:val="standardContextual"/>
                                                  </w:rPr>
                                                  <w:t xml:space="preserve"> así como al Regulador por todo su interés. Adjunto a este correo encontraras el RD que modifica el Reglamento de planes y fondos de pensiones. </w:t>
                                                </w:r>
                                              </w:p>
                                              <w:p w14:paraId="08921A47" w14:textId="77777777" w:rsidR="005A531C" w:rsidRDefault="005A531C" w:rsidP="005A531C">
                                                <w:pPr>
                                                  <w:jc w:val="both"/>
                                                  <w:rPr>
                                                    <w:sz w:val="24"/>
                                                    <w:szCs w:val="24"/>
                                                    <w:lang w:eastAsia="en-US"/>
                                                    <w14:ligatures w14:val="standardContextual"/>
                                                  </w:rPr>
                                                </w:pPr>
                                                <w:r>
                                                  <w:rPr>
                                                    <w:sz w:val="24"/>
                                                    <w:szCs w:val="24"/>
                                                    <w:lang w:eastAsia="en-US"/>
                                                    <w14:ligatures w14:val="standardContextual"/>
                                                  </w:rPr>
                                                  <w:t> </w:t>
                                                </w:r>
                                              </w:p>
                                              <w:p w14:paraId="6806DE19" w14:textId="77777777" w:rsidR="005A531C" w:rsidRDefault="005A531C" w:rsidP="005A531C">
                                                <w:pPr>
                                                  <w:jc w:val="both"/>
                                                  <w:rPr>
                                                    <w:b/>
                                                    <w:bCs/>
                                                    <w:sz w:val="24"/>
                                                    <w:szCs w:val="24"/>
                                                    <w:lang w:eastAsia="en-US"/>
                                                    <w14:ligatures w14:val="standardContextual"/>
                                                  </w:rPr>
                                                </w:pPr>
                                                <w:r>
                                                  <w:rPr>
                                                    <w:b/>
                                                    <w:bCs/>
                                                    <w:sz w:val="24"/>
                                                    <w:szCs w:val="24"/>
                                                    <w:lang w:eastAsia="en-US"/>
                                                    <w14:ligatures w14:val="standardContextual"/>
                                                  </w:rPr>
                                                  <w:t>GRACIAS - ABRAZOS</w:t>
                                                </w:r>
                                              </w:p>
                                              <w:p w14:paraId="6A8349C9" w14:textId="77777777" w:rsidR="005A531C" w:rsidRDefault="005A531C" w:rsidP="005A531C">
                                                <w:pPr>
                                                  <w:jc w:val="both"/>
                                                  <w:rPr>
                                                    <w:sz w:val="24"/>
                                                    <w:szCs w:val="24"/>
                                                  </w:rPr>
                                                </w:pPr>
                                              </w:p>
                                            </w:tc>
                                          </w:tr>
                                        </w:tbl>
                                        <w:p w14:paraId="604B2A51" w14:textId="77777777" w:rsidR="005A531C" w:rsidRDefault="005A531C" w:rsidP="005A531C">
                                          <w:pPr>
                                            <w:rPr>
                                              <w:rFonts w:ascii="Times New Roman" w:eastAsia="Times New Roman" w:hAnsi="Times New Roman" w:cs="Times New Roman"/>
                                              <w:sz w:val="20"/>
                                              <w:szCs w:val="20"/>
                                            </w:rPr>
                                          </w:pPr>
                                        </w:p>
                                      </w:tc>
                                    </w:tr>
                                  </w:tbl>
                                  <w:p w14:paraId="18659DE0" w14:textId="77777777" w:rsidR="005A531C" w:rsidRDefault="005A531C" w:rsidP="005A531C">
                                    <w:pPr>
                                      <w:rPr>
                                        <w:rFonts w:ascii="Times New Roman" w:eastAsia="Times New Roman" w:hAnsi="Times New Roman" w:cs="Times New Roman"/>
                                        <w:sz w:val="20"/>
                                        <w:szCs w:val="20"/>
                                      </w:rPr>
                                    </w:pPr>
                                  </w:p>
                                </w:tc>
                              </w:tr>
                            </w:tbl>
                            <w:p w14:paraId="2D20C3B1" w14:textId="77777777" w:rsidR="005A531C" w:rsidRDefault="005A531C" w:rsidP="005A531C">
                              <w:pPr>
                                <w:rPr>
                                  <w:rFonts w:ascii="Times New Roman" w:eastAsia="Times New Roman" w:hAnsi="Times New Roman" w:cs="Times New Roman"/>
                                  <w:sz w:val="20"/>
                                  <w:szCs w:val="20"/>
                                </w:rPr>
                              </w:pPr>
                            </w:p>
                          </w:tc>
                        </w:tr>
                      </w:tbl>
                      <w:p w14:paraId="68569F87" w14:textId="77777777" w:rsidR="005A531C" w:rsidRDefault="005A531C" w:rsidP="005A531C">
                        <w:pPr>
                          <w:jc w:val="center"/>
                          <w:rPr>
                            <w:rFonts w:ascii="Times New Roman" w:eastAsia="Times New Roman" w:hAnsi="Times New Roman" w:cs="Times New Roman"/>
                            <w:sz w:val="20"/>
                            <w:szCs w:val="20"/>
                          </w:rPr>
                        </w:pPr>
                      </w:p>
                    </w:tc>
                  </w:tr>
                </w:tbl>
                <w:p w14:paraId="65678786" w14:textId="77777777" w:rsidR="005A531C" w:rsidRDefault="005A531C" w:rsidP="005A531C">
                  <w:pPr>
                    <w:jc w:val="center"/>
                    <w:rPr>
                      <w:rFonts w:ascii="Times New Roman" w:eastAsia="Times New Roman" w:hAnsi="Times New Roman" w:cs="Times New Roman"/>
                      <w:sz w:val="20"/>
                      <w:szCs w:val="20"/>
                    </w:rPr>
                  </w:pPr>
                </w:p>
              </w:tc>
            </w:tr>
          </w:tbl>
          <w:p w14:paraId="1B0A6973" w14:textId="77777777" w:rsidR="005A531C" w:rsidRDefault="005A531C" w:rsidP="005A531C">
            <w:pPr>
              <w:jc w:val="center"/>
              <w:rPr>
                <w:rFonts w:ascii="Times New Roman" w:eastAsia="Times New Roman" w:hAnsi="Times New Roman" w:cs="Times New Roman"/>
                <w:sz w:val="20"/>
                <w:szCs w:val="20"/>
              </w:rPr>
            </w:pPr>
          </w:p>
        </w:tc>
      </w:tr>
    </w:tbl>
    <w:p w14:paraId="234D809B" w14:textId="77777777" w:rsidR="006C5483" w:rsidRDefault="006C5483" w:rsidP="005A531C"/>
    <w:sectPr w:rsidR="006C54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A15F0"/>
    <w:multiLevelType w:val="hybridMultilevel"/>
    <w:tmpl w:val="7D885B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6EE7D90"/>
    <w:multiLevelType w:val="hybridMultilevel"/>
    <w:tmpl w:val="F5D0B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727485223">
    <w:abstractNumId w:val="0"/>
    <w:lvlOverride w:ilvl="0"/>
    <w:lvlOverride w:ilvl="1"/>
    <w:lvlOverride w:ilvl="2"/>
    <w:lvlOverride w:ilvl="3"/>
    <w:lvlOverride w:ilvl="4"/>
    <w:lvlOverride w:ilvl="5"/>
    <w:lvlOverride w:ilvl="6"/>
    <w:lvlOverride w:ilvl="7"/>
    <w:lvlOverride w:ilvl="8"/>
  </w:num>
  <w:num w:numId="2" w16cid:durableId="32220061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1C"/>
    <w:rsid w:val="005A531C"/>
    <w:rsid w:val="006C5483"/>
    <w:rsid w:val="007C72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0B3E"/>
  <w15:chartTrackingRefBased/>
  <w15:docId w15:val="{9FE2839E-CB78-4532-9703-AB5C567E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1C"/>
    <w:pPr>
      <w:spacing w:after="0" w:line="240" w:lineRule="auto"/>
    </w:pPr>
    <w:rPr>
      <w:rFonts w:ascii="Calibri" w:hAnsi="Calibri" w:cs="Calibri"/>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A531C"/>
    <w:rPr>
      <w:color w:val="0000FF"/>
      <w:u w:val="single"/>
    </w:rPr>
  </w:style>
  <w:style w:type="paragraph" w:styleId="Prrafodelista">
    <w:name w:val="List Paragraph"/>
    <w:basedOn w:val="Normal"/>
    <w:uiPriority w:val="34"/>
    <w:qFormat/>
    <w:rsid w:val="005A53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9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buscar/doc.php?id=BOE-A-2023-1672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Angulo</dc:creator>
  <cp:keywords/>
  <dc:description/>
  <cp:lastModifiedBy>Pablo Angulo</cp:lastModifiedBy>
  <cp:revision>1</cp:revision>
  <dcterms:created xsi:type="dcterms:W3CDTF">2023-09-27T08:19:00Z</dcterms:created>
  <dcterms:modified xsi:type="dcterms:W3CDTF">2023-09-27T08:20:00Z</dcterms:modified>
</cp:coreProperties>
</file>